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B14CF60" w:rsidR="00F92268" w:rsidRPr="00FF66BF" w:rsidRDefault="00E31AD9" w:rsidP="00F246C7">
            <w:pPr>
              <w:pStyle w:val="RefTableHeader"/>
            </w:pPr>
            <w:r>
              <w:t>1887-A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CFB8989" w:rsidR="004B15BB" w:rsidRPr="00BD1CC1" w:rsidRDefault="006B677E" w:rsidP="007E5C16">
      <w:pPr>
        <w:pStyle w:val="Heading1"/>
      </w:pPr>
      <w:r>
        <w:t>Specialty Guideline Mana</w:t>
      </w:r>
      <w:r w:rsidR="00DD2B00">
        <w:t>gement</w:t>
      </w:r>
      <w:r w:rsidR="00DD2B00">
        <w:br/>
      </w:r>
      <w:r w:rsidR="001D07DA">
        <w:t>T</w:t>
      </w:r>
      <w:r w:rsidR="001D07DA" w:rsidRPr="001D07DA">
        <w:t xml:space="preserve">obramycin </w:t>
      </w:r>
      <w:r w:rsidR="00780733">
        <w:t>I</w:t>
      </w:r>
      <w:r w:rsidR="00780733" w:rsidRPr="001D07DA">
        <w:t>nhalation</w:t>
      </w:r>
    </w:p>
    <w:p w14:paraId="78861C92" w14:textId="4487B4CD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DC0F298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77AEC">
        <w:t>Over-the-counter (</w:t>
      </w:r>
      <w:r w:rsidRPr="00BD1CC1">
        <w:t>OTC</w:t>
      </w:r>
      <w:r w:rsidR="00777AE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E77500" w:rsidRPr="00BD1CC1" w14:paraId="0C19F9E0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5CCCEBA6" w14:textId="48520EE7" w:rsidR="00E77500" w:rsidRPr="00283ABA" w:rsidRDefault="00E77500" w:rsidP="00AA1E6A">
            <w:pPr>
              <w:pStyle w:val="TableHeader"/>
              <w:rPr>
                <w:b w:val="0"/>
                <w:bCs w:val="0"/>
              </w:rPr>
            </w:pPr>
            <w:r w:rsidRPr="00283ABA">
              <w:rPr>
                <w:b w:val="0"/>
                <w:bCs w:val="0"/>
              </w:rPr>
              <w:t>TOBI</w:t>
            </w:r>
          </w:p>
        </w:tc>
        <w:tc>
          <w:tcPr>
            <w:tcW w:w="5595" w:type="dxa"/>
            <w:vAlign w:val="center"/>
          </w:tcPr>
          <w:p w14:paraId="3C7914A6" w14:textId="40C604C8" w:rsidR="00E77500" w:rsidRPr="00283ABA" w:rsidRDefault="00CD75DF" w:rsidP="00AA1E6A">
            <w:pPr>
              <w:pStyle w:val="Table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</w:t>
            </w:r>
            <w:r w:rsidR="00E77500">
              <w:rPr>
                <w:b w:val="0"/>
                <w:bCs w:val="0"/>
              </w:rPr>
              <w:t xml:space="preserve">obramycin </w:t>
            </w:r>
            <w:r>
              <w:rPr>
                <w:b w:val="0"/>
                <w:bCs w:val="0"/>
              </w:rPr>
              <w:t>i</w:t>
            </w:r>
            <w:r w:rsidR="00E77500">
              <w:rPr>
                <w:b w:val="0"/>
                <w:bCs w:val="0"/>
              </w:rPr>
              <w:t xml:space="preserve">nhalation </w:t>
            </w:r>
            <w:r>
              <w:rPr>
                <w:b w:val="0"/>
                <w:bCs w:val="0"/>
              </w:rPr>
              <w:t>s</w:t>
            </w:r>
            <w:r w:rsidR="00E77500">
              <w:rPr>
                <w:b w:val="0"/>
                <w:bCs w:val="0"/>
              </w:rPr>
              <w:t>olution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10C1CAB" w:rsidR="00585FFF" w:rsidRPr="00BD1CC1" w:rsidRDefault="009C5CF2" w:rsidP="00E82ABA">
            <w:pPr>
              <w:pStyle w:val="TableDataUnpadded"/>
            </w:pPr>
            <w:r w:rsidRPr="00680FA9">
              <w:t>TOBI Podhaler</w:t>
            </w:r>
          </w:p>
        </w:tc>
        <w:tc>
          <w:tcPr>
            <w:tcW w:w="5595" w:type="dxa"/>
          </w:tcPr>
          <w:p w14:paraId="7E26A004" w14:textId="0C4A6BDE" w:rsidR="00585FFF" w:rsidRPr="00BD1CC1" w:rsidRDefault="00CD75DF" w:rsidP="00E82ABA">
            <w:pPr>
              <w:pStyle w:val="TableDataUnpadded"/>
            </w:pPr>
            <w:r>
              <w:t>t</w:t>
            </w:r>
            <w:r w:rsidR="009C5CF2" w:rsidRPr="00680FA9">
              <w:t xml:space="preserve">obramycin </w:t>
            </w:r>
            <w:r>
              <w:t>i</w:t>
            </w:r>
            <w:r w:rsidR="009C5CF2" w:rsidRPr="00680FA9">
              <w:t xml:space="preserve">nhalation </w:t>
            </w:r>
            <w:r>
              <w:t>p</w:t>
            </w:r>
            <w:r w:rsidR="009C5CF2" w:rsidRPr="00680FA9">
              <w:t>owder</w:t>
            </w:r>
          </w:p>
        </w:tc>
      </w:tr>
      <w:tr w:rsidR="00D21D0C" w:rsidRPr="00BD1CC1" w14:paraId="79C2A122" w14:textId="77777777" w:rsidTr="000C5A6F">
        <w:trPr>
          <w:cantSplit/>
        </w:trPr>
        <w:tc>
          <w:tcPr>
            <w:tcW w:w="5265" w:type="dxa"/>
          </w:tcPr>
          <w:p w14:paraId="08001603" w14:textId="268ECAAE" w:rsidR="00D21D0C" w:rsidRPr="00BD1CC1" w:rsidRDefault="009C5CF2" w:rsidP="00E82ABA">
            <w:pPr>
              <w:pStyle w:val="TableDataUnpadded"/>
            </w:pPr>
            <w:r w:rsidRPr="005B596A">
              <w:t>Bethkis</w:t>
            </w:r>
          </w:p>
        </w:tc>
        <w:tc>
          <w:tcPr>
            <w:tcW w:w="5595" w:type="dxa"/>
          </w:tcPr>
          <w:p w14:paraId="26C54A5D" w14:textId="712D3346" w:rsidR="00D21D0C" w:rsidRPr="00BD1CC1" w:rsidRDefault="00CD75DF" w:rsidP="00E82ABA">
            <w:pPr>
              <w:pStyle w:val="TableDataUnpadded"/>
            </w:pPr>
            <w:r>
              <w:t>t</w:t>
            </w:r>
            <w:r w:rsidR="009C5CF2" w:rsidRPr="005B596A">
              <w:t xml:space="preserve">obramycin </w:t>
            </w:r>
            <w:r>
              <w:t>i</w:t>
            </w:r>
            <w:r w:rsidR="009C5CF2" w:rsidRPr="005B596A">
              <w:t xml:space="preserve">nhalation </w:t>
            </w:r>
            <w:r>
              <w:t>s</w:t>
            </w:r>
            <w:r w:rsidR="009C5CF2" w:rsidRPr="005B596A">
              <w:t>olution</w:t>
            </w:r>
          </w:p>
        </w:tc>
      </w:tr>
      <w:tr w:rsidR="00D21D0C" w:rsidRPr="00BD1CC1" w14:paraId="420A61B5" w14:textId="77777777" w:rsidTr="000C5A6F">
        <w:trPr>
          <w:cantSplit/>
        </w:trPr>
        <w:tc>
          <w:tcPr>
            <w:tcW w:w="5265" w:type="dxa"/>
          </w:tcPr>
          <w:p w14:paraId="064084F6" w14:textId="00D9D8E7" w:rsidR="00D21D0C" w:rsidRPr="00BD1CC1" w:rsidRDefault="009C5CF2" w:rsidP="00E82ABA">
            <w:pPr>
              <w:pStyle w:val="TableDataUnpadded"/>
            </w:pPr>
            <w:proofErr w:type="spellStart"/>
            <w:r w:rsidRPr="00EE2C02">
              <w:t>Kitabis</w:t>
            </w:r>
            <w:proofErr w:type="spellEnd"/>
            <w:r w:rsidRPr="00EE2C02">
              <w:t xml:space="preserve"> Pak</w:t>
            </w:r>
          </w:p>
        </w:tc>
        <w:tc>
          <w:tcPr>
            <w:tcW w:w="5595" w:type="dxa"/>
          </w:tcPr>
          <w:p w14:paraId="5BE6D872" w14:textId="3A8FCC3E" w:rsidR="00D21D0C" w:rsidRPr="00BD1CC1" w:rsidRDefault="00CD75DF" w:rsidP="00E82ABA">
            <w:pPr>
              <w:pStyle w:val="TableDataUnpadded"/>
            </w:pPr>
            <w:r>
              <w:t>t</w:t>
            </w:r>
            <w:r w:rsidR="009C5CF2" w:rsidRPr="00EE2C02">
              <w:t xml:space="preserve">obramycin </w:t>
            </w:r>
            <w:r>
              <w:t>i</w:t>
            </w:r>
            <w:r w:rsidR="009C5CF2" w:rsidRPr="00EE2C02">
              <w:t xml:space="preserve">nhalation </w:t>
            </w:r>
            <w:r>
              <w:t>s</w:t>
            </w:r>
            <w:r w:rsidR="009C5CF2" w:rsidRPr="00EE2C02">
              <w:t>olution</w:t>
            </w:r>
          </w:p>
        </w:tc>
      </w:tr>
    </w:tbl>
    <w:bookmarkEnd w:id="0"/>
    <w:p w14:paraId="14CE6108" w14:textId="58D8555D" w:rsidR="00FC1AAD" w:rsidRDefault="00ED052F" w:rsidP="00FF66BF">
      <w:pPr>
        <w:pStyle w:val="Heading2"/>
        <w:tabs>
          <w:tab w:val="left" w:pos="9195"/>
        </w:tabs>
        <w:rPr>
          <w:color w:val="C00000"/>
        </w:rPr>
      </w:pPr>
      <w:r>
        <w:t>Indications</w:t>
      </w:r>
    </w:p>
    <w:p w14:paraId="24C27CE1" w14:textId="7E4FAFB7" w:rsidR="002C068C" w:rsidRPr="002C068C" w:rsidRDefault="002C068C" w:rsidP="002C068C">
      <w:pPr>
        <w:pStyle w:val="BodyText"/>
      </w:pPr>
      <w:r w:rsidRPr="002C068C">
        <w:rPr>
          <w:rStyle w:val="normaltextrun"/>
        </w:rP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FB00927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4C0766" w:rsidRPr="0015182C">
        <w:rPr>
          <w:vertAlign w:val="superscript"/>
        </w:rPr>
        <w:t>1-5</w:t>
      </w:r>
    </w:p>
    <w:p w14:paraId="7431C1A7" w14:textId="0D339E42" w:rsidR="00E56C15" w:rsidRPr="00E56C15" w:rsidRDefault="00E56C15" w:rsidP="00E56C15">
      <w:pPr>
        <w:pStyle w:val="BodyText"/>
      </w:pPr>
      <w:r w:rsidRPr="00E56C15">
        <w:rPr>
          <w:rStyle w:val="normaltextrun"/>
        </w:rPr>
        <w:t>Management of cystic fibrosis in patients with Pseudomonas aeruginosa</w:t>
      </w:r>
      <w:r w:rsidR="00777AEC">
        <w:rPr>
          <w:rStyle w:val="eop"/>
        </w:rPr>
        <w:t>.</w:t>
      </w:r>
    </w:p>
    <w:p w14:paraId="0B5EC236" w14:textId="3C0EEC7A" w:rsidR="0044763A" w:rsidRDefault="009F2EF1" w:rsidP="0044763A">
      <w:pPr>
        <w:pStyle w:val="Heading3"/>
        <w:rPr>
          <w:color w:val="C00000"/>
        </w:rPr>
      </w:pPr>
      <w:r>
        <w:t>Compendial Use</w:t>
      </w:r>
      <w:r w:rsidR="004C0766" w:rsidRPr="0015182C">
        <w:rPr>
          <w:vertAlign w:val="superscript"/>
        </w:rPr>
        <w:t>6,8</w:t>
      </w:r>
      <w:r w:rsidR="00F567D5">
        <w:rPr>
          <w:vertAlign w:val="superscript"/>
        </w:rPr>
        <w:t>,9</w:t>
      </w:r>
    </w:p>
    <w:p w14:paraId="2AF6A2E9" w14:textId="2CE65FA9" w:rsidR="00DB5773" w:rsidRPr="00DB5773" w:rsidRDefault="00DB5773" w:rsidP="00DB5773">
      <w:pPr>
        <w:pStyle w:val="BodyText"/>
      </w:pPr>
      <w:r w:rsidRPr="00DB5773">
        <w:rPr>
          <w:rStyle w:val="normaltextrun"/>
        </w:rPr>
        <w:t>Pseudomonas aeruginosa lower respiratory tract infection in patients with non-cystic fibrosis bronchiectasis</w:t>
      </w:r>
      <w:r w:rsidR="00CC12B0">
        <w:rPr>
          <w:rStyle w:val="normaltextrun"/>
        </w:rPr>
        <w:t>.</w:t>
      </w:r>
    </w:p>
    <w:p w14:paraId="0D5A9DD5" w14:textId="28ECD12D" w:rsidR="009A5649" w:rsidRPr="0006149B" w:rsidRDefault="0006149B" w:rsidP="0006149B">
      <w:pPr>
        <w:pStyle w:val="BodyText"/>
        <w:rPr>
          <w:rFonts w:eastAsia="Arial"/>
        </w:rPr>
      </w:pPr>
      <w:r w:rsidRPr="0006149B">
        <w:rPr>
          <w:rStyle w:val="normaltextrun"/>
        </w:rPr>
        <w:t>All other indications are considered experimental/investigational and are not medically necessary.</w:t>
      </w:r>
    </w:p>
    <w:p w14:paraId="50A38FBA" w14:textId="20216B1D" w:rsidR="00FE0C63" w:rsidRDefault="00685107" w:rsidP="00E050E1">
      <w:pPr>
        <w:pStyle w:val="Heading2"/>
        <w:rPr>
          <w:color w:val="C00000"/>
        </w:rPr>
      </w:pPr>
      <w:r>
        <w:lastRenderedPageBreak/>
        <w:t>Coverage Criteria</w:t>
      </w:r>
    </w:p>
    <w:p w14:paraId="23A73952" w14:textId="22A8E4EF" w:rsidR="00A06339" w:rsidRDefault="00A06339" w:rsidP="00A06339">
      <w:pPr>
        <w:pStyle w:val="Heading3"/>
      </w:pPr>
      <w:r>
        <w:t>Cystic Fibrosis</w:t>
      </w:r>
      <w:r w:rsidR="007942D5" w:rsidRPr="0015182C">
        <w:rPr>
          <w:vertAlign w:val="superscript"/>
        </w:rPr>
        <w:t>1-5,7,1</w:t>
      </w:r>
      <w:r w:rsidR="00F567D5">
        <w:rPr>
          <w:vertAlign w:val="superscript"/>
        </w:rPr>
        <w:t>0</w:t>
      </w:r>
    </w:p>
    <w:p w14:paraId="24B4B9E2" w14:textId="3D17011E" w:rsidR="00A06339" w:rsidRDefault="00A06339" w:rsidP="00A06339">
      <w:pPr>
        <w:pStyle w:val="BodyText"/>
      </w:pPr>
      <w:r w:rsidRPr="00A06339">
        <w:t>Authorization of 12 months may be granted for members 2 years of age and older with cystic fibrosis when Pseudomonas aeruginosa is present in airway cultures OR the member has a history of Pseudomonas aeruginosa infection or colonization in the airways.</w:t>
      </w:r>
    </w:p>
    <w:p w14:paraId="444BDEA1" w14:textId="2738174A" w:rsidR="00A06339" w:rsidRDefault="00A06339" w:rsidP="00A06339">
      <w:pPr>
        <w:pStyle w:val="Heading3"/>
      </w:pPr>
      <w:r>
        <w:t>Bronchiectasis (Non-Cystic Fibrosis)</w:t>
      </w:r>
      <w:r w:rsidR="002B7381" w:rsidRPr="0015182C">
        <w:rPr>
          <w:vertAlign w:val="superscript"/>
        </w:rPr>
        <w:t>6,8</w:t>
      </w:r>
      <w:r w:rsidR="00F567D5">
        <w:rPr>
          <w:vertAlign w:val="superscript"/>
        </w:rPr>
        <w:t>,9</w:t>
      </w:r>
    </w:p>
    <w:p w14:paraId="2CB1CAB0" w14:textId="5FA31C12" w:rsidR="00A06339" w:rsidRPr="00A06339" w:rsidRDefault="00A06339" w:rsidP="00A06339">
      <w:pPr>
        <w:pStyle w:val="BodyText"/>
      </w:pPr>
      <w:r w:rsidRPr="00A06339">
        <w:t>Authorization of 12 months may be granted for members with non-cystic fibrosis bronchiectasis when Pseudomonas aeruginosa is present in airway cultures OR the member has a history of Pseudomonas aeruginosa infection or colonization in the airways.</w:t>
      </w:r>
    </w:p>
    <w:p w14:paraId="3A643EC3" w14:textId="7130FBB5" w:rsidR="00A501AC" w:rsidRPr="00BD1CC1" w:rsidRDefault="00A501AC" w:rsidP="00A501AC">
      <w:pPr>
        <w:pStyle w:val="Heading2"/>
      </w:pPr>
      <w:r w:rsidRPr="00BD1CC1">
        <w:t>Continuation of Therapy</w:t>
      </w:r>
    </w:p>
    <w:p w14:paraId="6AC71FB6" w14:textId="60ABBE66" w:rsidR="00402051" w:rsidRDefault="005A3828" w:rsidP="006936C9">
      <w:pPr>
        <w:pStyle w:val="BodyText"/>
        <w:sectPr w:rsidR="00402051" w:rsidSect="009B34FE">
          <w:headerReference w:type="default" r:id="rId15"/>
          <w:type w:val="continuous"/>
          <w:pgSz w:w="12240" w:h="15840" w:code="1"/>
          <w:pgMar w:top="900" w:right="720" w:bottom="990" w:left="720" w:header="450" w:footer="807" w:gutter="0"/>
          <w:paperSrc w:first="15" w:other="15"/>
          <w:cols w:space="720"/>
          <w:titlePg/>
          <w:docGrid w:linePitch="272"/>
        </w:sectPr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5A3828">
        <w:t xml:space="preserve">Authorization of 12 months may be granted for continued treatment in members requesting reauthorization for an indication listed in </w:t>
      </w:r>
      <w:r w:rsidR="00246D1D">
        <w:t xml:space="preserve">the </w:t>
      </w:r>
      <w:r w:rsidR="00E4107A">
        <w:t>c</w:t>
      </w:r>
      <w:r w:rsidR="00246D1D">
        <w:t xml:space="preserve">overage </w:t>
      </w:r>
      <w:r w:rsidR="00E4107A">
        <w:t>c</w:t>
      </w:r>
      <w:r w:rsidR="00246D1D">
        <w:t>riteria section</w:t>
      </w:r>
      <w:r w:rsidRPr="005A3828">
        <w:t xml:space="preserve"> who are experiencing benefit from therapy as evidenced by disease stability or disease improvement.</w:t>
      </w:r>
    </w:p>
    <w:p w14:paraId="10DA4309" w14:textId="05D08F01" w:rsidR="00FF66BF" w:rsidRPr="008D1B34" w:rsidRDefault="00FF66BF" w:rsidP="00FF66BF">
      <w:pPr>
        <w:pStyle w:val="Heading2"/>
      </w:pPr>
      <w:r w:rsidRPr="008D1B34">
        <w:t>References</w:t>
      </w:r>
    </w:p>
    <w:p w14:paraId="0B54DDCF" w14:textId="276FFA6D" w:rsidR="00A357E0" w:rsidRPr="00A357E0" w:rsidRDefault="00A357E0" w:rsidP="00A357E0">
      <w:pPr>
        <w:pStyle w:val="ReferenceOrdered"/>
      </w:pPr>
      <w:r w:rsidRPr="00A357E0">
        <w:t xml:space="preserve">Tobramycin inhalation solution [package insert]. </w:t>
      </w:r>
      <w:r w:rsidR="00CF2E23">
        <w:t>Princeton</w:t>
      </w:r>
      <w:r w:rsidRPr="00A357E0">
        <w:t xml:space="preserve">, NJ: </w:t>
      </w:r>
      <w:r w:rsidR="00CF2E23">
        <w:t>Dr. Reddy’s Laboratories Inc</w:t>
      </w:r>
      <w:r w:rsidR="003A6C90">
        <w:t>.</w:t>
      </w:r>
      <w:r w:rsidR="00EC717B">
        <w:t>;</w:t>
      </w:r>
      <w:r w:rsidRPr="00A357E0">
        <w:t xml:space="preserve"> February 202</w:t>
      </w:r>
      <w:r w:rsidR="003A6C90">
        <w:t>3</w:t>
      </w:r>
      <w:r w:rsidRPr="00A357E0">
        <w:t>.</w:t>
      </w:r>
    </w:p>
    <w:p w14:paraId="51CE154E" w14:textId="0716D8A0" w:rsidR="00A357E0" w:rsidRPr="00A357E0" w:rsidRDefault="00A357E0" w:rsidP="00A357E0">
      <w:pPr>
        <w:pStyle w:val="ReferenceOrdered"/>
      </w:pPr>
      <w:r w:rsidRPr="00A357E0">
        <w:t xml:space="preserve">TOBI [package insert]. Morgantown, WV: Mylan Specialty L.P.; </w:t>
      </w:r>
      <w:r w:rsidR="003A6C90">
        <w:t>February 2023</w:t>
      </w:r>
      <w:r w:rsidRPr="00A357E0">
        <w:t>.</w:t>
      </w:r>
    </w:p>
    <w:p w14:paraId="6A1439A2" w14:textId="7E27E6A6" w:rsidR="00A357E0" w:rsidRPr="00A357E0" w:rsidRDefault="00A357E0" w:rsidP="00A357E0">
      <w:pPr>
        <w:pStyle w:val="ReferenceOrdered"/>
      </w:pPr>
      <w:r w:rsidRPr="00A357E0">
        <w:t xml:space="preserve">TOBI Podhaler [package insert]. Morgantown, WV: Mylan Specialty L.P.; </w:t>
      </w:r>
      <w:r w:rsidR="000073E2">
        <w:t>February 2023</w:t>
      </w:r>
      <w:r w:rsidRPr="00A357E0">
        <w:t>.</w:t>
      </w:r>
    </w:p>
    <w:p w14:paraId="24F3F610" w14:textId="350A6E8A" w:rsidR="00A357E0" w:rsidRPr="00A357E0" w:rsidRDefault="00A357E0" w:rsidP="00A357E0">
      <w:pPr>
        <w:pStyle w:val="ReferenceOrdered"/>
      </w:pPr>
      <w:r w:rsidRPr="00A357E0">
        <w:t xml:space="preserve">Bethkis [package insert]. Woodstock, IL: Chiesi USA, Inc.; </w:t>
      </w:r>
      <w:r w:rsidR="000073E2">
        <w:t xml:space="preserve">February </w:t>
      </w:r>
      <w:r w:rsidR="000A34D6">
        <w:t>2023</w:t>
      </w:r>
      <w:r w:rsidRPr="00A357E0">
        <w:t>.</w:t>
      </w:r>
    </w:p>
    <w:p w14:paraId="3E33811B" w14:textId="5BF2DE11" w:rsidR="00A357E0" w:rsidRPr="00A357E0" w:rsidRDefault="00A357E0" w:rsidP="00A357E0">
      <w:pPr>
        <w:pStyle w:val="ReferenceOrdered"/>
      </w:pPr>
      <w:proofErr w:type="spellStart"/>
      <w:r w:rsidRPr="00A357E0">
        <w:t>Kitabis</w:t>
      </w:r>
      <w:proofErr w:type="spellEnd"/>
      <w:r w:rsidRPr="00A357E0">
        <w:t xml:space="preserve"> Pak [package insert]. Midlothian, VA: PARI Respiratory Equipment, Inc.; August 202</w:t>
      </w:r>
      <w:r w:rsidR="000A34D6">
        <w:t>3</w:t>
      </w:r>
      <w:r w:rsidRPr="00A357E0">
        <w:t>.</w:t>
      </w:r>
    </w:p>
    <w:p w14:paraId="58ECB29D" w14:textId="7EAD5D6D" w:rsidR="00A357E0" w:rsidRPr="00A357E0" w:rsidRDefault="00925801" w:rsidP="00A357E0">
      <w:pPr>
        <w:pStyle w:val="ReferenceOrdered"/>
      </w:pPr>
      <w:r w:rsidRPr="00925801">
        <w:t>Lexicomp Online. Waltham, MA: UpToDate, Inc.</w:t>
      </w:r>
      <w:r w:rsidR="00A357E0" w:rsidRPr="00A357E0">
        <w:t>. Available at</w:t>
      </w:r>
      <w:r w:rsidR="00D82D1A">
        <w:t>:</w:t>
      </w:r>
      <w:r w:rsidR="00A357E0" w:rsidRPr="00A357E0">
        <w:t xml:space="preserve"> http://</w:t>
      </w:r>
      <w:r w:rsidR="0002280D" w:rsidRPr="0002280D">
        <w:t>online.lexi</w:t>
      </w:r>
      <w:r w:rsidR="00A357E0" w:rsidRPr="00A357E0">
        <w:t xml:space="preserve">.com. Accessed December </w:t>
      </w:r>
      <w:r w:rsidR="00A9121C">
        <w:t>18, 202</w:t>
      </w:r>
      <w:r w:rsidR="00A86001">
        <w:t>4</w:t>
      </w:r>
      <w:r w:rsidR="00A357E0" w:rsidRPr="00A357E0">
        <w:t>.</w:t>
      </w:r>
    </w:p>
    <w:p w14:paraId="0B8D07A8" w14:textId="1E8F7FC2" w:rsidR="00A357E0" w:rsidRPr="00A357E0" w:rsidRDefault="00A357E0" w:rsidP="00A357E0">
      <w:pPr>
        <w:pStyle w:val="ReferenceOrdered"/>
      </w:pPr>
      <w:r w:rsidRPr="00A357E0">
        <w:rPr>
          <w:lang w:val="fr-FR"/>
        </w:rPr>
        <w:t xml:space="preserve">Mogayzel PJ, Naureckas ET, Robinson KA, et al. </w:t>
      </w:r>
      <w:r w:rsidRPr="00A357E0">
        <w:t xml:space="preserve">Cystic fibrosis pulmonary guidelines. </w:t>
      </w:r>
      <w:r w:rsidR="00512F21">
        <w:t>c</w:t>
      </w:r>
      <w:r w:rsidR="00512F21" w:rsidRPr="00A357E0">
        <w:t xml:space="preserve">hronic </w:t>
      </w:r>
      <w:r w:rsidRPr="00A357E0">
        <w:t>medications for maintenance of lung health</w:t>
      </w:r>
      <w:r w:rsidRPr="00A357E0">
        <w:rPr>
          <w:i/>
          <w:iCs/>
        </w:rPr>
        <w:t xml:space="preserve">. </w:t>
      </w:r>
      <w:r w:rsidRPr="00CB6543">
        <w:t>Am J Respir Crit Care Med</w:t>
      </w:r>
      <w:r w:rsidRPr="00A357E0">
        <w:rPr>
          <w:i/>
          <w:iCs/>
        </w:rPr>
        <w:t>.</w:t>
      </w:r>
      <w:r w:rsidRPr="00A357E0">
        <w:t xml:space="preserve"> 2013;187(7):680-689. doi:10.1164/rccm.201207-1160oe</w:t>
      </w:r>
    </w:p>
    <w:p w14:paraId="08983C59" w14:textId="0221F313" w:rsidR="006268CE" w:rsidRDefault="00A357E0" w:rsidP="00A357E0">
      <w:pPr>
        <w:pStyle w:val="ReferenceOrdered"/>
      </w:pPr>
      <w:r w:rsidRPr="00A357E0">
        <w:t xml:space="preserve">Rosen, MJ. Chronic cough due to bronchiectasis: ACCP </w:t>
      </w:r>
      <w:r w:rsidR="00E1032B">
        <w:t>e</w:t>
      </w:r>
      <w:r w:rsidR="00E1032B" w:rsidRPr="00A357E0">
        <w:t>vidence</w:t>
      </w:r>
      <w:r w:rsidRPr="00A357E0">
        <w:t>-</w:t>
      </w:r>
      <w:r w:rsidR="00E1032B">
        <w:t>b</w:t>
      </w:r>
      <w:r w:rsidR="00E1032B" w:rsidRPr="00A357E0">
        <w:t xml:space="preserve">ased </w:t>
      </w:r>
      <w:r w:rsidR="00E1032B">
        <w:t>c</w:t>
      </w:r>
      <w:r w:rsidR="00E1032B" w:rsidRPr="00A357E0">
        <w:t xml:space="preserve">linical </w:t>
      </w:r>
      <w:r w:rsidR="00C05497">
        <w:t>p</w:t>
      </w:r>
      <w:r w:rsidR="00C05497" w:rsidRPr="00A357E0">
        <w:t xml:space="preserve">ractice </w:t>
      </w:r>
      <w:r w:rsidR="00C05497">
        <w:t>g</w:t>
      </w:r>
      <w:r w:rsidR="00C05497" w:rsidRPr="00A357E0">
        <w:t>uidelines</w:t>
      </w:r>
      <w:r w:rsidRPr="00A357E0">
        <w:t xml:space="preserve">. </w:t>
      </w:r>
      <w:r w:rsidRPr="00A357E0">
        <w:rPr>
          <w:i/>
          <w:iCs/>
        </w:rPr>
        <w:t>Chest</w:t>
      </w:r>
      <w:r w:rsidRPr="00A357E0">
        <w:t>. 2006;129(1 Suppl):122S-131S. doi:10.1378/chest.129.1_suppl.122S</w:t>
      </w:r>
    </w:p>
    <w:p w14:paraId="7FE5AD72" w14:textId="5E69CA14" w:rsidR="00A357E0" w:rsidRPr="00A357E0" w:rsidRDefault="00A357E0" w:rsidP="00A357E0">
      <w:pPr>
        <w:pStyle w:val="ReferenceOrdered"/>
      </w:pPr>
      <w:proofErr w:type="spellStart"/>
      <w:r w:rsidRPr="00A357E0">
        <w:t>Polverino</w:t>
      </w:r>
      <w:proofErr w:type="spellEnd"/>
      <w:r w:rsidRPr="00A357E0">
        <w:t xml:space="preserve"> E, </w:t>
      </w:r>
      <w:proofErr w:type="spellStart"/>
      <w:r w:rsidRPr="00A357E0">
        <w:t>Goeminne</w:t>
      </w:r>
      <w:proofErr w:type="spellEnd"/>
      <w:r w:rsidRPr="00A357E0">
        <w:t xml:space="preserve"> PC, McDonnell MJ, et al. European Respiratory Society guidelines for the management of adult bronchiectasis. </w:t>
      </w:r>
      <w:proofErr w:type="spellStart"/>
      <w:r w:rsidRPr="00CB6543">
        <w:t>Eur</w:t>
      </w:r>
      <w:proofErr w:type="spellEnd"/>
      <w:r w:rsidRPr="00CB6543">
        <w:t xml:space="preserve"> Respir J </w:t>
      </w:r>
      <w:r w:rsidRPr="00A357E0">
        <w:t>2017;50(3):1700629.</w:t>
      </w:r>
      <w:r w:rsidRPr="00A357E0">
        <w:rPr>
          <w:rFonts w:ascii="Times New Roman" w:hAnsi="Times New Roman"/>
          <w:sz w:val="24"/>
          <w:szCs w:val="24"/>
        </w:rPr>
        <w:t xml:space="preserve"> </w:t>
      </w:r>
      <w:r w:rsidRPr="00A357E0">
        <w:t>doi:10.1183/13993003.00629-2017</w:t>
      </w:r>
    </w:p>
    <w:p w14:paraId="26E25A0F" w14:textId="1B7A38C9" w:rsidR="00FF66BF" w:rsidRDefault="00A357E0" w:rsidP="00A357E0">
      <w:pPr>
        <w:pStyle w:val="ReferenceOrdered"/>
      </w:pPr>
      <w:r w:rsidRPr="00A357E0">
        <w:t xml:space="preserve">Lahiri T, Hempstead SE, Brady C, et al. Clinical practice guidelines from the Cystic Fibrosis Foundation for preschoolers with cystic fibrosis. </w:t>
      </w:r>
      <w:r w:rsidRPr="00CB6543">
        <w:t>Pediatrics.</w:t>
      </w:r>
      <w:r w:rsidRPr="00A357E0">
        <w:t xml:space="preserve"> 2016;137(4):e20151784. doi:10.1542/peds.2015-1784</w:t>
      </w:r>
    </w:p>
    <w:sectPr w:rsidR="00FF66BF" w:rsidSect="009B34FE">
      <w:headerReference w:type="first" r:id="rId16"/>
      <w:footerReference w:type="first" r:id="rId17"/>
      <w:type w:val="continuous"/>
      <w:pgSz w:w="12240" w:h="15840" w:code="1"/>
      <w:pgMar w:top="900" w:right="720" w:bottom="990" w:left="720" w:header="720" w:footer="23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5D63" w14:textId="77777777" w:rsidR="009D7302" w:rsidRDefault="009D7302">
      <w:r>
        <w:separator/>
      </w:r>
    </w:p>
  </w:endnote>
  <w:endnote w:type="continuationSeparator" w:id="0">
    <w:p w14:paraId="5C980EA4" w14:textId="77777777" w:rsidR="009D7302" w:rsidRDefault="009D7302">
      <w:r>
        <w:continuationSeparator/>
      </w:r>
    </w:p>
  </w:endnote>
  <w:endnote w:type="continuationNotice" w:id="1">
    <w:p w14:paraId="6F73DC55" w14:textId="77777777" w:rsidR="009D7302" w:rsidRDefault="009D73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30D34" w14:textId="672D777E" w:rsidR="00520C44" w:rsidRPr="00EC47B6" w:rsidRDefault="00520C44" w:rsidP="00520C4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15182C">
      <w:rPr>
        <w:rFonts w:cs="Arial"/>
        <w:noProof/>
        <w:sz w:val="16"/>
        <w:szCs w:val="16"/>
      </w:rPr>
      <w:t>Tobramycin</w:t>
    </w:r>
    <w:r>
      <w:rPr>
        <w:rFonts w:cs="Arial"/>
        <w:noProof/>
        <w:snapToGrid w:val="0"/>
        <w:color w:val="000000"/>
        <w:sz w:val="16"/>
        <w:szCs w:val="16"/>
      </w:rPr>
      <w:t xml:space="preserve"> Inhalation</w:t>
    </w:r>
    <w:r w:rsidR="00607D76">
      <w:rPr>
        <w:rFonts w:cs="Arial"/>
        <w:noProof/>
        <w:snapToGrid w:val="0"/>
        <w:color w:val="000000"/>
        <w:sz w:val="16"/>
        <w:szCs w:val="16"/>
      </w:rPr>
      <w:t xml:space="preserve"> SGM</w:t>
    </w:r>
    <w:r>
      <w:rPr>
        <w:rFonts w:cs="Arial"/>
        <w:noProof/>
        <w:snapToGrid w:val="0"/>
        <w:color w:val="000000"/>
        <w:sz w:val="16"/>
        <w:szCs w:val="16"/>
      </w:rPr>
      <w:t xml:space="preserve"> 1887-A 202</w:t>
    </w:r>
    <w:r w:rsidR="00AD7970">
      <w:rPr>
        <w:rFonts w:cs="Arial"/>
        <w:noProof/>
        <w:snapToGrid w:val="0"/>
        <w:color w:val="000000"/>
        <w:sz w:val="16"/>
        <w:szCs w:val="16"/>
      </w:rPr>
      <w:t>5</w:t>
    </w:r>
    <w:r w:rsidR="00E22713">
      <w:rPr>
        <w:rFonts w:cs="Arial"/>
        <w:noProof/>
        <w:snapToGrid w:val="0"/>
        <w:color w:val="000000"/>
        <w:sz w:val="16"/>
        <w:szCs w:val="16"/>
      </w:rPr>
      <w:t>_R</w:t>
    </w:r>
    <w:r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61E3950" w14:textId="77777777" w:rsidR="00520C44" w:rsidRPr="00EC47B6" w:rsidRDefault="00520C44" w:rsidP="00520C4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4A9F958" w:rsidR="00F75C81" w:rsidRPr="00AA1E6A" w:rsidRDefault="00520C44" w:rsidP="0024265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3401FF4" w:rsidR="00F50D98" w:rsidRPr="00E22713" w:rsidRDefault="00F50D98" w:rsidP="00F50D98">
    <w:pPr>
      <w:tabs>
        <w:tab w:val="right" w:pos="10710"/>
      </w:tabs>
      <w:spacing w:before="120" w:after="120"/>
      <w:rPr>
        <w:rFonts w:cs="Arial"/>
        <w:noProof/>
        <w:snapToGrid w:val="0"/>
        <w:color w:val="000000"/>
        <w:sz w:val="16"/>
        <w:szCs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B34FE" w:rsidRPr="009B34FE">
      <w:rPr>
        <w:rFonts w:cs="Arial"/>
        <w:noProof/>
        <w:sz w:val="16"/>
        <w:szCs w:val="16"/>
      </w:rPr>
      <w:t>Tobramycin</w:t>
    </w:r>
    <w:r w:rsidR="009B34FE">
      <w:rPr>
        <w:rFonts w:cs="Arial"/>
        <w:noProof/>
        <w:snapToGrid w:val="0"/>
        <w:color w:val="000000"/>
        <w:sz w:val="16"/>
        <w:szCs w:val="16"/>
      </w:rPr>
      <w:t xml:space="preserve"> Inhalation SGM 1887-A</w:t>
    </w:r>
    <w:r w:rsidR="009B34FE" w:rsidRPr="009B34FE">
      <w:rPr>
        <w:rFonts w:cs="Arial"/>
        <w:noProof/>
        <w:sz w:val="16"/>
        <w:szCs w:val="16"/>
      </w:rPr>
      <w:t xml:space="preserve"> </w:t>
    </w:r>
    <w:r w:rsidR="009B34FE">
      <w:rPr>
        <w:rFonts w:cs="Arial"/>
        <w:noProof/>
        <w:snapToGrid w:val="0"/>
        <w:color w:val="000000"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C12B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DC7D73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DF80664" w:rsidR="00ED04EC" w:rsidRPr="00F50D98" w:rsidRDefault="00F50D98" w:rsidP="0015182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4294A" w14:textId="77777777" w:rsidR="009D7302" w:rsidRDefault="009D7302">
      <w:r>
        <w:separator/>
      </w:r>
    </w:p>
  </w:footnote>
  <w:footnote w:type="continuationSeparator" w:id="0">
    <w:p w14:paraId="6FAEFF89" w14:textId="77777777" w:rsidR="009D7302" w:rsidRDefault="009D7302">
      <w:r>
        <w:continuationSeparator/>
      </w:r>
    </w:p>
  </w:footnote>
  <w:footnote w:type="continuationNotice" w:id="1">
    <w:p w14:paraId="10255179" w14:textId="77777777" w:rsidR="009D7302" w:rsidRDefault="009D73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BD79C7B" w:rsidR="00ED04EC" w:rsidRPr="00AA1E6A" w:rsidRDefault="00ED04EC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54230" w:rsidRPr="00ED04EC" w14:paraId="4C8941F5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04BF1D5" w14:textId="77777777" w:rsidR="00854230" w:rsidRPr="00907301" w:rsidRDefault="00854230" w:rsidP="00907301">
          <w:pPr>
            <w:pStyle w:val="RefTableHeader"/>
          </w:pPr>
          <w:r w:rsidRPr="00907301">
            <w:t>Reference number(s)</w:t>
          </w:r>
        </w:p>
      </w:tc>
    </w:tr>
    <w:tr w:rsidR="00854230" w:rsidRPr="00ED04EC" w14:paraId="4571B092" w14:textId="77777777" w:rsidTr="009B34FE">
      <w:trPr>
        <w:trHeight w:val="233"/>
        <w:jc w:val="right"/>
      </w:trPr>
      <w:tc>
        <w:tcPr>
          <w:tcW w:w="1854" w:type="dxa"/>
          <w:hideMark/>
        </w:tcPr>
        <w:p w14:paraId="48B43C14" w14:textId="4275D1E6" w:rsidR="00854230" w:rsidRPr="00FF66BF" w:rsidRDefault="00E31AD9" w:rsidP="00907301">
          <w:pPr>
            <w:pStyle w:val="RefTableData"/>
          </w:pPr>
          <w:r>
            <w:t>1887-A</w:t>
          </w:r>
        </w:p>
      </w:tc>
    </w:tr>
  </w:tbl>
  <w:p w14:paraId="358F9AB2" w14:textId="77777777" w:rsidR="00854230" w:rsidRPr="00AA1E6A" w:rsidRDefault="00854230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739BE"/>
    <w:multiLevelType w:val="multilevel"/>
    <w:tmpl w:val="FC3047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6722AB"/>
    <w:multiLevelType w:val="multilevel"/>
    <w:tmpl w:val="461040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2EE685C"/>
    <w:multiLevelType w:val="multilevel"/>
    <w:tmpl w:val="B17A4D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66FDB"/>
    <w:multiLevelType w:val="multilevel"/>
    <w:tmpl w:val="CB8405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B5536"/>
    <w:multiLevelType w:val="multilevel"/>
    <w:tmpl w:val="9DBA71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AC49DE"/>
    <w:multiLevelType w:val="multilevel"/>
    <w:tmpl w:val="2B303F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B1E06"/>
    <w:multiLevelType w:val="hybridMultilevel"/>
    <w:tmpl w:val="0C14A1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83962"/>
    <w:multiLevelType w:val="multilevel"/>
    <w:tmpl w:val="332EE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8E6BD4"/>
    <w:multiLevelType w:val="multilevel"/>
    <w:tmpl w:val="E19245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12404"/>
    <w:multiLevelType w:val="multilevel"/>
    <w:tmpl w:val="ED64A6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049AB"/>
    <w:multiLevelType w:val="multilevel"/>
    <w:tmpl w:val="E34A4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1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34"/>
  </w:num>
  <w:num w:numId="18" w16cid:durableId="299724409">
    <w:abstractNumId w:val="27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5"/>
  </w:num>
  <w:num w:numId="22" w16cid:durableId="1472481103">
    <w:abstractNumId w:val="30"/>
  </w:num>
  <w:num w:numId="23" w16cid:durableId="1997420403">
    <w:abstractNumId w:val="33"/>
  </w:num>
  <w:num w:numId="24" w16cid:durableId="33312838">
    <w:abstractNumId w:val="29"/>
  </w:num>
  <w:num w:numId="25" w16cid:durableId="507404939">
    <w:abstractNumId w:val="19"/>
  </w:num>
  <w:num w:numId="26" w16cid:durableId="198594374">
    <w:abstractNumId w:val="25"/>
  </w:num>
  <w:num w:numId="27" w16cid:durableId="1268465167">
    <w:abstractNumId w:val="28"/>
  </w:num>
  <w:num w:numId="28" w16cid:durableId="1061102855">
    <w:abstractNumId w:val="20"/>
  </w:num>
  <w:num w:numId="29" w16cid:durableId="1849057554">
    <w:abstractNumId w:val="12"/>
  </w:num>
  <w:num w:numId="30" w16cid:durableId="702905792">
    <w:abstractNumId w:val="32"/>
  </w:num>
  <w:num w:numId="31" w16cid:durableId="1280524052">
    <w:abstractNumId w:val="10"/>
  </w:num>
  <w:num w:numId="32" w16cid:durableId="1177575583">
    <w:abstractNumId w:val="21"/>
  </w:num>
  <w:num w:numId="33" w16cid:durableId="243102407">
    <w:abstractNumId w:val="26"/>
  </w:num>
  <w:num w:numId="34" w16cid:durableId="1397817523">
    <w:abstractNumId w:val="18"/>
  </w:num>
  <w:num w:numId="35" w16cid:durableId="367879084">
    <w:abstractNumId w:val="15"/>
  </w:num>
  <w:num w:numId="36" w16cid:durableId="415980354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3E2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80D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27A"/>
    <w:rsid w:val="000564BC"/>
    <w:rsid w:val="00057358"/>
    <w:rsid w:val="00057C68"/>
    <w:rsid w:val="00057CD8"/>
    <w:rsid w:val="00060959"/>
    <w:rsid w:val="000609B8"/>
    <w:rsid w:val="0006149B"/>
    <w:rsid w:val="00062816"/>
    <w:rsid w:val="00064347"/>
    <w:rsid w:val="00064396"/>
    <w:rsid w:val="00065AC6"/>
    <w:rsid w:val="00066D4B"/>
    <w:rsid w:val="00067369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4D6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1DD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6D75"/>
    <w:rsid w:val="000E7263"/>
    <w:rsid w:val="000E7B01"/>
    <w:rsid w:val="000E7C60"/>
    <w:rsid w:val="000F02C7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35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2BB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82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7DA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D14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AED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1CD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655"/>
    <w:rsid w:val="00242E29"/>
    <w:rsid w:val="00242F54"/>
    <w:rsid w:val="00243017"/>
    <w:rsid w:val="0024305D"/>
    <w:rsid w:val="00244442"/>
    <w:rsid w:val="0024498F"/>
    <w:rsid w:val="00246D1D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E95"/>
    <w:rsid w:val="0026796B"/>
    <w:rsid w:val="00267A90"/>
    <w:rsid w:val="002708AE"/>
    <w:rsid w:val="00271357"/>
    <w:rsid w:val="00272160"/>
    <w:rsid w:val="002726B6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099"/>
    <w:rsid w:val="002807CC"/>
    <w:rsid w:val="00280C69"/>
    <w:rsid w:val="00280EC5"/>
    <w:rsid w:val="00281A75"/>
    <w:rsid w:val="00281F6C"/>
    <w:rsid w:val="0028234F"/>
    <w:rsid w:val="00283ABA"/>
    <w:rsid w:val="00283E25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381"/>
    <w:rsid w:val="002B751E"/>
    <w:rsid w:val="002B7A9E"/>
    <w:rsid w:val="002B7F07"/>
    <w:rsid w:val="002B7FDB"/>
    <w:rsid w:val="002C0682"/>
    <w:rsid w:val="002C068C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702"/>
    <w:rsid w:val="002E030E"/>
    <w:rsid w:val="002E06B0"/>
    <w:rsid w:val="002E08C6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6C90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051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111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2E4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766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499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2F21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0C44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56A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9F1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828"/>
    <w:rsid w:val="005A3CD8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B596A"/>
    <w:rsid w:val="005C026B"/>
    <w:rsid w:val="005C194C"/>
    <w:rsid w:val="005C2667"/>
    <w:rsid w:val="005C295A"/>
    <w:rsid w:val="005C2C21"/>
    <w:rsid w:val="005C3B4F"/>
    <w:rsid w:val="005C44D1"/>
    <w:rsid w:val="005C4BCC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401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07D76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68CE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8B4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FA9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6C9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77E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37D7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AEC"/>
    <w:rsid w:val="00777BDA"/>
    <w:rsid w:val="00780733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2D5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3F1F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1D0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4AC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F82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20C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5801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DB9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4FE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5CF2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302"/>
    <w:rsid w:val="009D7595"/>
    <w:rsid w:val="009D7679"/>
    <w:rsid w:val="009D7C0C"/>
    <w:rsid w:val="009D7F0B"/>
    <w:rsid w:val="009E1C1D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1CA"/>
    <w:rsid w:val="00A04292"/>
    <w:rsid w:val="00A051FE"/>
    <w:rsid w:val="00A05BED"/>
    <w:rsid w:val="00A05C06"/>
    <w:rsid w:val="00A05C6E"/>
    <w:rsid w:val="00A06128"/>
    <w:rsid w:val="00A06339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7E0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271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01"/>
    <w:rsid w:val="00A8608E"/>
    <w:rsid w:val="00A86211"/>
    <w:rsid w:val="00A87B90"/>
    <w:rsid w:val="00A87BF7"/>
    <w:rsid w:val="00A9069E"/>
    <w:rsid w:val="00A9121C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D7970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36FB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2B3"/>
    <w:rsid w:val="00C04410"/>
    <w:rsid w:val="00C04991"/>
    <w:rsid w:val="00C04C79"/>
    <w:rsid w:val="00C05497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67AAF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B9F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543"/>
    <w:rsid w:val="00CB677D"/>
    <w:rsid w:val="00CB6D83"/>
    <w:rsid w:val="00CB6FF0"/>
    <w:rsid w:val="00CB7503"/>
    <w:rsid w:val="00CB7F0D"/>
    <w:rsid w:val="00CC0702"/>
    <w:rsid w:val="00CC0EC9"/>
    <w:rsid w:val="00CC12B0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D75DF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2E23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E6F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31EE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1A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4B7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773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B00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32B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713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AD9"/>
    <w:rsid w:val="00E31E60"/>
    <w:rsid w:val="00E31E68"/>
    <w:rsid w:val="00E3262A"/>
    <w:rsid w:val="00E327E1"/>
    <w:rsid w:val="00E32D5F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07A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C15"/>
    <w:rsid w:val="00E56F98"/>
    <w:rsid w:val="00E60126"/>
    <w:rsid w:val="00E61AD9"/>
    <w:rsid w:val="00E625E8"/>
    <w:rsid w:val="00E62DE9"/>
    <w:rsid w:val="00E630B7"/>
    <w:rsid w:val="00E63469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00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410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17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2C02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7D5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865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B7E3F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6C5A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4899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05527E-98E2-4FF4-96CC-2EFF7946BC16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Tobramycin Inhalation SGM 1887-A</vt:lpstr>
    </vt:vector>
  </TitlesOfParts>
  <Company>CVS Caremark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Tobramycin Inhalation SGM 1887-A</dc:title>
  <dc:subject>Tobramycin Inhalation SGM 1887-A</dc:subject>
  <dc:creator>CVS Caremark</dc:creator>
  <cp:keywords/>
  <cp:lastModifiedBy>Reynoso, Victor H</cp:lastModifiedBy>
  <cp:revision>95</cp:revision>
  <cp:lastPrinted>2018-01-09T05:01:00Z</cp:lastPrinted>
  <dcterms:created xsi:type="dcterms:W3CDTF">2024-04-05T03:20:00Z</dcterms:created>
  <dcterms:modified xsi:type="dcterms:W3CDTF">2025-05-05T20:02:00Z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